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7.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2021-10-20 16:28:34</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seagrass-and-macroalgae-trends"/>
    <w:p>
      <w:pPr>
        <w:pStyle w:val="Heading2"/>
      </w:pPr>
      <w:r>
        <w:t xml:space="preserve">Seagrass and macroalgae trends</w:t>
      </w:r>
    </w:p>
    <w:p>
      <w:pPr>
        <w:pStyle w:val="FirstParagraph"/>
      </w:pPr>
      <w:r>
        <w:t xml:space="preserve">A total of 38 transects were sampled for seagrasses and macroalgae from April through September,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September.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at the end of September.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and no transects were sampled past September in Area 1. Area 1 had generally stable frequency occurrence over time of the three primary seagrass species observed in the bay, with turtle grass (</w:t>
      </w:r>
      <w:r>
        <w:rPr>
          <w:iCs/>
          <w:i/>
        </w:rPr>
        <w:t xml:space="preserve">T. testudinum</w:t>
      </w:r>
      <w:r>
        <w:t xml:space="preserve">) occurring slightly more often (average frequency occurrence across months 44.8833333%) than shoal grass (</w:t>
      </w:r>
      <w:r>
        <w:rPr>
          <w:iCs/>
          <w:i/>
        </w:rPr>
        <w:t xml:space="preserve">H. wrightii</w:t>
      </w:r>
      <w:r>
        <w:t xml:space="preserve">, 31.0333333%)) or manatee grass (</w:t>
      </w:r>
      <w:r>
        <w:rPr>
          <w:iCs/>
          <w:i/>
        </w:rPr>
        <w:t xml:space="preserve">S. filiforme</w:t>
      </w:r>
      <w:r>
        <w:t xml:space="preserve">, 30.4833333%)).</w:t>
      </w:r>
    </w:p>
    <w:p>
      <w:pPr>
        <w:pStyle w:val="BodyText"/>
      </w:pPr>
      <w:r>
        <w:t xml:space="preserve">, although a slight decrease over time in shoal grass (</w:t>
      </w:r>
      <w:r>
        <w:rPr>
          <w:iCs/>
          <w:i/>
        </w:rPr>
        <w:t xml:space="preserve">H. wrightii</w:t>
      </w:r>
      <w:r>
        <w:t xml:space="preserve">) was observed (April frequency occurrence of 35.4%, July frequency occurrence of 27.3%). A similar decline in coverage of shoal grass was also observed in area 3 (April frequency occurrence of 44%, July frequency occurrence of 16.7%). Frequency occurrence of manatee grass (</w:t>
      </w:r>
      <w:r>
        <w:rPr>
          <w:iCs/>
          <w:i/>
        </w:rPr>
        <w:t xml:space="preserve">S. syringodium</w:t>
      </w:r>
      <w:r>
        <w:t xml:space="preserve">) also declined slightly from April to July in area 3 (April frequency occurrence of 35.7%, July frequency occurrence of 16.7%).</w:t>
      </w:r>
    </w:p>
    <w:p>
      <w:pPr>
        <w:pStyle w:val="BodyText"/>
      </w:pPr>
      <w:r>
        <w:t xml:space="preserve">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7</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7</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C:/proj/piney-point-manu/figs/wqgamtrnds.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9: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7"/>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9: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3" Target="media/rId73.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2021-10-20T20:28:45Z</dcterms:created>
  <dcterms:modified xsi:type="dcterms:W3CDTF">2021-10-20T20:28:45Z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